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7C" w:rsidRDefault="00802B7C" w:rsidP="00802B7C">
      <w:pPr>
        <w:pStyle w:val="SCT"/>
      </w:pPr>
      <w:r>
        <w:t xml:space="preserve">SECTION </w:t>
      </w:r>
      <w:r>
        <w:rPr>
          <w:rStyle w:val="NUM"/>
        </w:rPr>
        <w:t>092216</w:t>
      </w:r>
      <w:r>
        <w:t xml:space="preserve"> - </w:t>
      </w:r>
      <w:r>
        <w:rPr>
          <w:rStyle w:val="NAM"/>
        </w:rPr>
        <w:t>NON-STRUCTURAL METAL FRAMING</w:t>
      </w:r>
    </w:p>
    <w:p w:rsidR="00802B7C" w:rsidRDefault="00802B7C" w:rsidP="00802B7C">
      <w:pPr>
        <w:pStyle w:val="PRT"/>
      </w:pPr>
      <w:r>
        <w:t>GENERAL</w:t>
      </w:r>
    </w:p>
    <w:p w:rsidR="00802B7C" w:rsidRDefault="00802B7C" w:rsidP="00802B7C">
      <w:pPr>
        <w:pStyle w:val="ART"/>
      </w:pPr>
      <w:r>
        <w:t>SUMMARY</w:t>
      </w:r>
    </w:p>
    <w:p w:rsidR="00802B7C" w:rsidRDefault="00802B7C" w:rsidP="00802B7C">
      <w:pPr>
        <w:pStyle w:val="PR1"/>
      </w:pPr>
      <w:r>
        <w:t>Section Includes:</w:t>
      </w:r>
    </w:p>
    <w:p w:rsidR="00802B7C" w:rsidRDefault="00802B7C" w:rsidP="00802B7C">
      <w:pPr>
        <w:pStyle w:val="PR2"/>
        <w:spacing w:before="240"/>
      </w:pPr>
      <w:r>
        <w:t>Non-load-bearing steel framing systems for interior partitions.</w:t>
      </w:r>
    </w:p>
    <w:p w:rsidR="00802B7C" w:rsidRDefault="00802B7C" w:rsidP="00802B7C">
      <w:pPr>
        <w:pStyle w:val="PR2"/>
      </w:pPr>
      <w:r>
        <w:t>Suspension systems for interior ceilings and soffits.</w:t>
      </w:r>
    </w:p>
    <w:p w:rsidR="00802B7C" w:rsidRDefault="00802B7C" w:rsidP="00802B7C">
      <w:pPr>
        <w:pStyle w:val="PR2"/>
      </w:pPr>
      <w:r>
        <w:t>Grid suspension systems for gypsum board ceilings.</w:t>
      </w:r>
    </w:p>
    <w:p w:rsidR="00802B7C" w:rsidRDefault="00802B7C" w:rsidP="00802B7C">
      <w:pPr>
        <w:pStyle w:val="PR1"/>
      </w:pPr>
      <w:r>
        <w:t>Related Requirements:</w:t>
      </w:r>
    </w:p>
    <w:p w:rsidR="00802B7C" w:rsidRDefault="00802B7C" w:rsidP="00802B7C">
      <w:pPr>
        <w:pStyle w:val="PR2"/>
        <w:spacing w:before="240"/>
      </w:pPr>
      <w:r>
        <w:t>Section 054000 "Cold-Formed Metal Framing" for exterior and interior load-bearing and exterior non-load-bearing wall studs; floor joists; roof rafters; and roof trusses.</w:t>
      </w:r>
    </w:p>
    <w:p w:rsidR="00802B7C" w:rsidRDefault="00802B7C" w:rsidP="00802B7C">
      <w:pPr>
        <w:pStyle w:val="ART"/>
      </w:pPr>
      <w:r>
        <w:t>ACTION SUBMITTALS</w:t>
      </w:r>
    </w:p>
    <w:p w:rsidR="00802B7C" w:rsidRDefault="00802B7C" w:rsidP="00802B7C">
      <w:pPr>
        <w:pStyle w:val="PR1"/>
      </w:pPr>
      <w:r>
        <w:t>Product Data: For each type of product.</w:t>
      </w:r>
    </w:p>
    <w:p w:rsidR="00802B7C" w:rsidRDefault="00802B7C" w:rsidP="00802B7C">
      <w:pPr>
        <w:pStyle w:val="PR2"/>
        <w:spacing w:before="240"/>
      </w:pPr>
      <w:r>
        <w:t xml:space="preserve">Studs and Runners: Provide documentation that framing members' code compliance is verified by independent third party testing to meet the following standards: </w:t>
      </w:r>
      <w:r w:rsidR="0021659C">
        <w:t>International Building Code (IBC),</w:t>
      </w:r>
      <w:r>
        <w:t xml:space="preserve"> ASTM C 645, and </w:t>
      </w:r>
      <w:r w:rsidR="0021659C">
        <w:t xml:space="preserve">American Iron and Steel Institute (AISI) </w:t>
      </w:r>
      <w:r w:rsidR="0021659C" w:rsidRPr="0021659C">
        <w:rPr>
          <w:i/>
        </w:rPr>
        <w:t>North American Standard for Cold-Formed Steel Framing - General Provisions</w:t>
      </w:r>
      <w:r w:rsidR="0021659C">
        <w:t xml:space="preserve"> (AISI S200)</w:t>
      </w:r>
      <w:r>
        <w:t xml:space="preserve">. </w:t>
      </w:r>
    </w:p>
    <w:p w:rsidR="00802B7C" w:rsidRDefault="00802B7C" w:rsidP="00802B7C">
      <w:pPr>
        <w:pStyle w:val="PR1"/>
      </w:pPr>
      <w:r>
        <w:t>LEED Submittals:</w:t>
      </w:r>
    </w:p>
    <w:p w:rsidR="00802B7C" w:rsidRDefault="00802B7C" w:rsidP="00802B7C">
      <w:pPr>
        <w:pStyle w:val="PR2"/>
        <w:spacing w:before="240"/>
      </w:pPr>
      <w:r>
        <w:t xml:space="preserve">Product Data for Credit MR 4: For products having recycled content, documentation indicating percentages by weight of postconsumer and </w:t>
      </w:r>
      <w:proofErr w:type="spellStart"/>
      <w:r>
        <w:t>preconsumer</w:t>
      </w:r>
      <w:proofErr w:type="spellEnd"/>
      <w:r>
        <w:t xml:space="preserve"> recycled content. Include statement indicating cost for each product having recycled content.</w:t>
      </w:r>
    </w:p>
    <w:p w:rsidR="00802B7C" w:rsidRDefault="00802B7C" w:rsidP="00802B7C">
      <w:pPr>
        <w:pStyle w:val="PRT"/>
      </w:pPr>
      <w:r>
        <w:t>PRODUCTS</w:t>
      </w:r>
    </w:p>
    <w:p w:rsidR="00802B7C" w:rsidRDefault="00802B7C" w:rsidP="00802B7C">
      <w:pPr>
        <w:pStyle w:val="ART"/>
      </w:pPr>
      <w:r>
        <w:t>PERFORMANCE REQUIREMENTS</w:t>
      </w:r>
    </w:p>
    <w:p w:rsidR="00802B7C" w:rsidRDefault="00802B7C" w:rsidP="00802B7C">
      <w:pPr>
        <w:pStyle w:val="PR1"/>
      </w:pPr>
      <w:r>
        <w:t>Fire-Test-Response Characteristics: For fire-resistance-rated assemblies that incorporate non-load-bearing steel framing, provide materials and construction identical to those tested in assembly indicated, according to ASTM E 119 by an independent testing agency.</w:t>
      </w:r>
    </w:p>
    <w:p w:rsidR="00802B7C" w:rsidRDefault="00802B7C" w:rsidP="00802B7C">
      <w:pPr>
        <w:pStyle w:val="PR1"/>
      </w:pPr>
      <w:r>
        <w:t>STC-Rated Assemblies: For STC-rated assemblies, provide materials and construction identical to those tested in assembly indicated, according to ASTM E 90 and classified according to ASTM E 413 by an independent testing agency.</w:t>
      </w:r>
    </w:p>
    <w:p w:rsidR="00802B7C" w:rsidRPr="00A06B9A" w:rsidRDefault="00802B7C" w:rsidP="00802B7C">
      <w:pPr>
        <w:pStyle w:val="PR1"/>
        <w:rPr>
          <w:rStyle w:val="SI"/>
          <w:color w:val="auto"/>
        </w:rPr>
      </w:pPr>
      <w:r>
        <w:t xml:space="preserve">Horizontal Deflection: For wall assemblies, limited </w:t>
      </w:r>
      <w:r w:rsidR="00A06B9A">
        <w:t xml:space="preserve">based on cladding listed below and a </w:t>
      </w:r>
      <w:r>
        <w:t xml:space="preserve">horizontal loading of </w:t>
      </w:r>
      <w:r w:rsidRPr="00A06B9A">
        <w:t xml:space="preserve">5 </w:t>
      </w:r>
      <w:proofErr w:type="spellStart"/>
      <w:r w:rsidRPr="00A06B9A">
        <w:t>lbf</w:t>
      </w:r>
      <w:proofErr w:type="spellEnd"/>
      <w:r w:rsidRPr="00A06B9A">
        <w:t>/sq. ft</w:t>
      </w:r>
      <w:r w:rsidR="008237D1">
        <w:t>. Overall deflection shall be limited to:</w:t>
      </w:r>
    </w:p>
    <w:p w:rsidR="00A06B9A" w:rsidRDefault="00A06B9A" w:rsidP="00A06B9A">
      <w:pPr>
        <w:pStyle w:val="PR2"/>
        <w:spacing w:before="240"/>
      </w:pPr>
      <w:r>
        <w:lastRenderedPageBreak/>
        <w:t>Gypsum board finishes: 1/120</w:t>
      </w:r>
      <w:r w:rsidR="008237D1">
        <w:t xml:space="preserve"> of wall height</w:t>
      </w:r>
      <w:r>
        <w:t>.</w:t>
      </w:r>
    </w:p>
    <w:p w:rsidR="008237D1" w:rsidRDefault="008237D1" w:rsidP="00A06B9A">
      <w:pPr>
        <w:pStyle w:val="PR2"/>
      </w:pPr>
      <w:r>
        <w:t>Metal panel systems: 1/180</w:t>
      </w:r>
      <w:r w:rsidRPr="008237D1">
        <w:t xml:space="preserve"> </w:t>
      </w:r>
      <w:r>
        <w:t>of wall height.</w:t>
      </w:r>
    </w:p>
    <w:p w:rsidR="008237D1" w:rsidRDefault="008237D1" w:rsidP="00A06B9A">
      <w:pPr>
        <w:pStyle w:val="PR2"/>
      </w:pPr>
      <w:r>
        <w:t>Gypsum board with critical or brittle paint finishes: 1/240</w:t>
      </w:r>
      <w:r w:rsidRPr="008237D1">
        <w:t xml:space="preserve"> </w:t>
      </w:r>
      <w:r>
        <w:t>of wall height.</w:t>
      </w:r>
    </w:p>
    <w:p w:rsidR="00A06B9A" w:rsidRDefault="00A06B9A" w:rsidP="00A06B9A">
      <w:pPr>
        <w:pStyle w:val="PR2"/>
      </w:pPr>
      <w:r>
        <w:t xml:space="preserve">Tile or stucco </w:t>
      </w:r>
      <w:r w:rsidR="00883E11">
        <w:t xml:space="preserve">or veneer plaster </w:t>
      </w:r>
      <w:r>
        <w:t xml:space="preserve">or thin brick: </w:t>
      </w:r>
      <w:r w:rsidR="008237D1">
        <w:t>1</w:t>
      </w:r>
      <w:r>
        <w:t>/360</w:t>
      </w:r>
      <w:r w:rsidR="008237D1" w:rsidRPr="008237D1">
        <w:t xml:space="preserve"> </w:t>
      </w:r>
      <w:r w:rsidR="008237D1">
        <w:t>of wall height.</w:t>
      </w:r>
    </w:p>
    <w:p w:rsidR="008237D1" w:rsidRDefault="008237D1" w:rsidP="00A06B9A">
      <w:pPr>
        <w:pStyle w:val="PR2"/>
      </w:pPr>
      <w:r>
        <w:t>Brick or stone or masonry veneer: 1/600</w:t>
      </w:r>
      <w:r w:rsidRPr="008237D1">
        <w:t xml:space="preserve"> </w:t>
      </w:r>
      <w:r>
        <w:t>of wall height.</w:t>
      </w:r>
    </w:p>
    <w:p w:rsidR="00802B7C" w:rsidRDefault="00802B7C" w:rsidP="00802B7C">
      <w:pPr>
        <w:pStyle w:val="ART"/>
      </w:pPr>
      <w:r>
        <w:t>FRAMING SYSTEMS</w:t>
      </w:r>
    </w:p>
    <w:p w:rsidR="00802B7C" w:rsidRDefault="00802B7C" w:rsidP="00802B7C">
      <w:pPr>
        <w:pStyle w:val="PR1"/>
      </w:pPr>
      <w:r>
        <w:t>Framing Members, General: Comply with ASTM C 754 for conditions indicated.</w:t>
      </w:r>
    </w:p>
    <w:p w:rsidR="00802B7C" w:rsidRDefault="00802B7C" w:rsidP="00802B7C">
      <w:pPr>
        <w:pStyle w:val="PR2"/>
        <w:spacing w:before="240"/>
      </w:pPr>
      <w:r>
        <w:t>Steel Sheet Components: Comply with ASTM C 645 requirements for metal unless otherwise indicated.</w:t>
      </w:r>
    </w:p>
    <w:p w:rsidR="00C00EEB" w:rsidRDefault="00802B7C" w:rsidP="00802B7C">
      <w:pPr>
        <w:pStyle w:val="PR2"/>
      </w:pPr>
      <w:r>
        <w:t xml:space="preserve">Protective Coating: </w:t>
      </w:r>
      <w:r w:rsidR="00C00EEB">
        <w:t xml:space="preserve">Any of the following, as listed in ASTM A1003, table 1, are permitted: </w:t>
      </w:r>
    </w:p>
    <w:p w:rsidR="00C00EEB" w:rsidRDefault="00802B7C" w:rsidP="00C00EEB">
      <w:pPr>
        <w:pStyle w:val="PR3"/>
      </w:pPr>
      <w:r w:rsidRPr="00C00EEB">
        <w:t>ASTM A 653/A 653M, G40</w:t>
      </w:r>
      <w:r w:rsidR="00C00EEB">
        <w:t xml:space="preserve"> (Galvanized).</w:t>
      </w:r>
      <w:r w:rsidR="00C00EEB" w:rsidRPr="00C00EEB">
        <w:t xml:space="preserve"> </w:t>
      </w:r>
    </w:p>
    <w:p w:rsidR="00C00EEB" w:rsidRDefault="00C00EEB" w:rsidP="00C00EEB">
      <w:pPr>
        <w:pStyle w:val="PR3"/>
      </w:pPr>
      <w:r w:rsidRPr="00C00EEB">
        <w:t>ASTM A792/A792M, AZ50</w:t>
      </w:r>
      <w:r>
        <w:t xml:space="preserve"> (</w:t>
      </w:r>
      <w:r w:rsidR="00573FC6">
        <w:t>Galvalume)</w:t>
      </w:r>
      <w:r>
        <w:t>.</w:t>
      </w:r>
      <w:r w:rsidRPr="00C00EEB">
        <w:t xml:space="preserve"> </w:t>
      </w:r>
    </w:p>
    <w:p w:rsidR="00C00EEB" w:rsidRDefault="00C00EEB" w:rsidP="00C00EEB">
      <w:pPr>
        <w:pStyle w:val="PR3"/>
      </w:pPr>
      <w:r w:rsidRPr="00C00EEB">
        <w:t>ASTM A875/A875M, T1-25 or T2-100</w:t>
      </w:r>
      <w:r w:rsidR="00573FC6">
        <w:t xml:space="preserve"> (</w:t>
      </w:r>
      <w:proofErr w:type="spellStart"/>
      <w:r w:rsidR="00573FC6">
        <w:t>Galfan</w:t>
      </w:r>
      <w:proofErr w:type="spellEnd"/>
      <w:r w:rsidR="00573FC6">
        <w:t>)</w:t>
      </w:r>
      <w:r>
        <w:t>.</w:t>
      </w:r>
      <w:r w:rsidRPr="00C00EEB">
        <w:t xml:space="preserve"> </w:t>
      </w:r>
    </w:p>
    <w:p w:rsidR="00573FC6" w:rsidRDefault="00C00EEB" w:rsidP="00C00EEB">
      <w:pPr>
        <w:pStyle w:val="PR3"/>
      </w:pPr>
      <w:r w:rsidRPr="00C00EEB">
        <w:t xml:space="preserve">ASTM A879/A879M, </w:t>
      </w:r>
      <w:r w:rsidR="00573FC6">
        <w:t>20Z/20Z (Electro-galvanized).</w:t>
      </w:r>
    </w:p>
    <w:p w:rsidR="00C00EEB" w:rsidRDefault="00573FC6" w:rsidP="00C00EEB">
      <w:pPr>
        <w:pStyle w:val="PR3"/>
      </w:pPr>
      <w:r>
        <w:t>ASTM A1046 (</w:t>
      </w:r>
      <w:r w:rsidRPr="00573FC6">
        <w:t>Zinc-Aluminum-M</w:t>
      </w:r>
      <w:r>
        <w:t xml:space="preserve">agnesium Alloy - ZAM). </w:t>
      </w:r>
    </w:p>
    <w:p w:rsidR="00802B7C" w:rsidRDefault="00C00EEB" w:rsidP="00802B7C">
      <w:pPr>
        <w:pStyle w:val="PR2"/>
      </w:pPr>
      <w:r w:rsidRPr="00C00EEB">
        <w:t>Other coatings claiming</w:t>
      </w:r>
      <w:r w:rsidR="00802B7C" w:rsidRPr="00C00EEB">
        <w:t xml:space="preserve"> equivalent corrosion resistance</w:t>
      </w:r>
      <w:r>
        <w:t xml:space="preserve"> are not permitted.</w:t>
      </w:r>
    </w:p>
    <w:p w:rsidR="00802B7C" w:rsidRDefault="00802B7C" w:rsidP="00802B7C">
      <w:pPr>
        <w:pStyle w:val="PR1"/>
      </w:pPr>
      <w:r>
        <w:t>Studs and Runners: ASTM C 645</w:t>
      </w:r>
      <w:r w:rsidR="00573FC6">
        <w:t>.</w:t>
      </w:r>
    </w:p>
    <w:p w:rsidR="00802B7C" w:rsidRDefault="00802B7C" w:rsidP="00802B7C">
      <w:pPr>
        <w:pStyle w:val="PR2"/>
        <w:spacing w:before="240"/>
      </w:pPr>
      <w:r>
        <w:t>Steel Studs and Runners:</w:t>
      </w:r>
    </w:p>
    <w:p w:rsidR="00802B7C" w:rsidRPr="00F043A7" w:rsidRDefault="00802B7C" w:rsidP="00802B7C">
      <w:pPr>
        <w:pStyle w:val="PR3"/>
        <w:spacing w:before="240"/>
      </w:pPr>
      <w:r w:rsidRPr="00F043A7">
        <w:t>Basis-of-Design Product</w:t>
      </w:r>
      <w:r>
        <w:t xml:space="preserve">: Subject to compliance with requirements, provide </w:t>
      </w:r>
      <w:r w:rsidR="00573FC6">
        <w:t xml:space="preserve">The EDGE™ by </w:t>
      </w:r>
      <w:r>
        <w:t xml:space="preserve">Super Stud Building Products, Inc.; or </w:t>
      </w:r>
      <w:r w:rsidR="00573FC6">
        <w:t>equivalent</w:t>
      </w:r>
      <w:r>
        <w:t xml:space="preserve"> product by one of the following:</w:t>
      </w:r>
    </w:p>
    <w:p w:rsidR="00573FC6" w:rsidRDefault="00573FC6" w:rsidP="00802B7C">
      <w:pPr>
        <w:pStyle w:val="PR4"/>
        <w:spacing w:before="240"/>
      </w:pPr>
      <w:r>
        <w:t>Super Stud Building Products, Inc.</w:t>
      </w:r>
    </w:p>
    <w:p w:rsidR="00573FC6" w:rsidRDefault="00573FC6" w:rsidP="00573FC6">
      <w:pPr>
        <w:pStyle w:val="PR4"/>
      </w:pPr>
      <w:r>
        <w:t>Super Stud Building Products South, LLC</w:t>
      </w:r>
    </w:p>
    <w:p w:rsidR="00802B7C" w:rsidRPr="00353653" w:rsidRDefault="00573FC6" w:rsidP="00573FC6">
      <w:pPr>
        <w:pStyle w:val="PR4"/>
      </w:pPr>
      <w:r>
        <w:t>ClarkDietrich</w:t>
      </w:r>
      <w:r w:rsidR="00802B7C" w:rsidRPr="00353653">
        <w:t>.</w:t>
      </w:r>
    </w:p>
    <w:p w:rsidR="00802B7C" w:rsidRPr="00353653" w:rsidRDefault="00573FC6" w:rsidP="00802B7C">
      <w:pPr>
        <w:pStyle w:val="PR4"/>
      </w:pPr>
      <w:r>
        <w:t>Marino\Ware</w:t>
      </w:r>
    </w:p>
    <w:p w:rsidR="00573FC6" w:rsidRDefault="00802B7C" w:rsidP="00802B7C">
      <w:pPr>
        <w:pStyle w:val="PR3"/>
        <w:spacing w:before="240"/>
      </w:pPr>
      <w:r>
        <w:t xml:space="preserve">Minimum Base-Metal Thickness: </w:t>
      </w:r>
    </w:p>
    <w:p w:rsidR="00573FC6" w:rsidRDefault="00802B7C" w:rsidP="00573FC6">
      <w:pPr>
        <w:pStyle w:val="PR4"/>
        <w:spacing w:before="240"/>
      </w:pPr>
      <w:r w:rsidRPr="00573FC6">
        <w:t>As required by performance requirements for horizontal deflection</w:t>
      </w:r>
      <w:r w:rsidR="00573FC6">
        <w:t xml:space="preserve">.  </w:t>
      </w:r>
    </w:p>
    <w:p w:rsidR="00802B7C" w:rsidRDefault="00573FC6" w:rsidP="00573FC6">
      <w:pPr>
        <w:pStyle w:val="PR4"/>
      </w:pPr>
      <w:r>
        <w:t>For abuse-resistant gypsum products, or cement-based sheathing products, use The EDGE™ Super 20, minimum thickness = 0.0220 inches.</w:t>
      </w:r>
    </w:p>
    <w:p w:rsidR="00802B7C" w:rsidRPr="00573FC6" w:rsidRDefault="00802B7C" w:rsidP="00802B7C">
      <w:pPr>
        <w:pStyle w:val="PR3"/>
      </w:pPr>
      <w:r w:rsidRPr="00573FC6">
        <w:t>Depth: As indicated on Drawings</w:t>
      </w:r>
      <w:r w:rsidR="00573FC6" w:rsidRPr="00573FC6">
        <w:t>.</w:t>
      </w:r>
    </w:p>
    <w:p w:rsidR="00802B7C" w:rsidRDefault="00802B7C" w:rsidP="00802B7C">
      <w:pPr>
        <w:pStyle w:val="PR1"/>
      </w:pPr>
      <w:r>
        <w:t xml:space="preserve">Slip-Type Head Joints: Where indicated, </w:t>
      </w:r>
      <w:r w:rsidRPr="005C775F">
        <w:t>provide</w:t>
      </w:r>
      <w:r w:rsidR="005C775F" w:rsidRPr="005C775F">
        <w:t xml:space="preserve"> </w:t>
      </w:r>
      <w:r w:rsidRPr="005C775F">
        <w:t>one of the</w:t>
      </w:r>
      <w:r>
        <w:t xml:space="preserve"> following:</w:t>
      </w:r>
    </w:p>
    <w:p w:rsidR="00802B7C" w:rsidRDefault="00802B7C" w:rsidP="00802B7C">
      <w:pPr>
        <w:pStyle w:val="PR2"/>
        <w:spacing w:before="240"/>
      </w:pPr>
      <w:r>
        <w:t xml:space="preserve">Single Long-Leg Runner System: ASTM C 645 top runner with </w:t>
      </w:r>
      <w:r w:rsidRPr="00B35CCB">
        <w:t>2-inch</w:t>
      </w:r>
      <w:r w:rsidR="00B35CCB" w:rsidRPr="00B35CCB">
        <w:t>-</w:t>
      </w:r>
      <w:r>
        <w:t xml:space="preserve">deep flanges in thickness not less than indicated for studs, installed with studs friction fit into top runner and with continuous </w:t>
      </w:r>
      <w:r w:rsidR="005C775F">
        <w:t>sheathing attachment</w:t>
      </w:r>
      <w:r>
        <w:t xml:space="preserve"> located within </w:t>
      </w:r>
      <w:r w:rsidRPr="00B35CCB">
        <w:t xml:space="preserve">12 inches </w:t>
      </w:r>
      <w:r>
        <w:t>of the top of studs to provide lateral bracing.</w:t>
      </w:r>
    </w:p>
    <w:p w:rsidR="005C775F" w:rsidRDefault="005C775F" w:rsidP="00802B7C">
      <w:pPr>
        <w:pStyle w:val="PR2"/>
        <w:spacing w:before="240"/>
      </w:pPr>
      <w:r>
        <w:t xml:space="preserve">Slotted track: </w:t>
      </w:r>
      <w:r w:rsidR="002903DE">
        <w:t xml:space="preserve">minimum 2.5 inch legs with </w:t>
      </w:r>
      <w:r w:rsidR="00A43A09">
        <w:t>1.5 inch tall by 0.22 inch wide</w:t>
      </w:r>
      <w:r w:rsidR="002903DE">
        <w:t xml:space="preserve"> slots with maximum 1 inch spacing along length of track.  Track products must comply with </w:t>
      </w:r>
      <w:r w:rsidR="002903DE">
        <w:lastRenderedPageBreak/>
        <w:t xml:space="preserve">Underwriters Laboratories (UL) head-of-wall designs </w:t>
      </w:r>
      <w:r w:rsidR="002903DE" w:rsidRPr="002903DE">
        <w:t xml:space="preserve">listings HW-D-0632 and </w:t>
      </w:r>
      <w:r w:rsidR="002903DE">
        <w:t>HW-D-</w:t>
      </w:r>
      <w:r w:rsidR="002903DE" w:rsidRPr="002903DE">
        <w:t>0633</w:t>
      </w:r>
      <w:r w:rsidR="002903DE">
        <w:t>.</w:t>
      </w:r>
    </w:p>
    <w:p w:rsidR="002903DE" w:rsidRDefault="002903DE" w:rsidP="002903DE">
      <w:pPr>
        <w:pStyle w:val="PR3"/>
        <w:spacing w:before="240"/>
      </w:pPr>
      <w:r w:rsidRPr="00F043A7">
        <w:t>Basis-of-Design Product</w:t>
      </w:r>
      <w:r>
        <w:t>: Subject to compliance with requirements, provide Super Stud Building Products, Inc. Slotted Track.</w:t>
      </w:r>
      <w:r w:rsidR="00A43A09">
        <w:t xml:space="preserve"> Equivalent slotted track products permissible from the following manufacturers:</w:t>
      </w:r>
    </w:p>
    <w:p w:rsidR="00A43A09" w:rsidRDefault="00A43A09" w:rsidP="00B35CCB">
      <w:pPr>
        <w:pStyle w:val="PR4"/>
        <w:spacing w:before="240"/>
      </w:pPr>
      <w:r>
        <w:t>Super Stud Building Products, Inc.</w:t>
      </w:r>
    </w:p>
    <w:p w:rsidR="00A43A09" w:rsidRDefault="00A43A09" w:rsidP="00A43A09">
      <w:pPr>
        <w:pStyle w:val="PR4"/>
      </w:pPr>
      <w:r>
        <w:t>Super Stud Building Products South, LLC</w:t>
      </w:r>
    </w:p>
    <w:p w:rsidR="00A43A09" w:rsidRDefault="00A43A09" w:rsidP="00A43A09">
      <w:pPr>
        <w:pStyle w:val="PR4"/>
      </w:pPr>
      <w:r>
        <w:t>Blaze Frame, Inc.</w:t>
      </w:r>
    </w:p>
    <w:p w:rsidR="00A43A09" w:rsidRDefault="00A43A09" w:rsidP="00A43A09">
      <w:pPr>
        <w:pStyle w:val="PR4"/>
      </w:pPr>
      <w:r>
        <w:t>ClarkDietrich</w:t>
      </w:r>
    </w:p>
    <w:p w:rsidR="00A43A09" w:rsidRDefault="00A43A09" w:rsidP="00A43A09">
      <w:pPr>
        <w:pStyle w:val="PR4"/>
      </w:pPr>
      <w:r>
        <w:t xml:space="preserve">Marino\Ware </w:t>
      </w:r>
    </w:p>
    <w:p w:rsidR="00802B7C" w:rsidRDefault="00802B7C" w:rsidP="00802B7C">
      <w:pPr>
        <w:pStyle w:val="PR1"/>
      </w:pPr>
      <w:r>
        <w:t xml:space="preserve">Cold-Rolled Channel Bridging: </w:t>
      </w:r>
      <w:r w:rsidR="00B35CCB">
        <w:t>Where sheathing does not extend full height of wall each flange, cold-rolled channel (CRC) Bridging may be required.  CRC shall be s</w:t>
      </w:r>
      <w:r>
        <w:t xml:space="preserve">teel, </w:t>
      </w:r>
      <w:r w:rsidRPr="002903DE">
        <w:t>0.0538-inch (</w:t>
      </w:r>
      <w:r w:rsidR="002903DE" w:rsidRPr="002903DE">
        <w:t>54 mil, 16 gauge</w:t>
      </w:r>
      <w:r w:rsidRPr="002903DE">
        <w:t>)</w:t>
      </w:r>
      <w:r>
        <w:t xml:space="preserve"> minimum base-metal thickness, </w:t>
      </w:r>
      <w:r w:rsidR="00B35CCB">
        <w:t xml:space="preserve">1-1/2 inch deep </w:t>
      </w:r>
      <w:r>
        <w:t xml:space="preserve">with minimum </w:t>
      </w:r>
      <w:r w:rsidRPr="002903DE">
        <w:t>1/2-inch</w:t>
      </w:r>
      <w:r w:rsidR="002903DE" w:rsidRPr="002903DE">
        <w:t>-</w:t>
      </w:r>
      <w:r>
        <w:t xml:space="preserve"> wide flanges.</w:t>
      </w:r>
    </w:p>
    <w:p w:rsidR="00802B7C" w:rsidRDefault="00802B7C" w:rsidP="00802B7C">
      <w:pPr>
        <w:pStyle w:val="PR2"/>
      </w:pPr>
      <w:r>
        <w:t xml:space="preserve">Clip Angle: Not less than </w:t>
      </w:r>
      <w:r w:rsidRPr="00B35CCB">
        <w:t xml:space="preserve">1-1/2 by 1-1/2 inches </w:t>
      </w:r>
      <w:r w:rsidR="00B35CCB" w:rsidRPr="00B35CCB">
        <w:t xml:space="preserve">by </w:t>
      </w:r>
      <w:r w:rsidRPr="00B35CCB">
        <w:t>0.068-inch-</w:t>
      </w:r>
      <w:r>
        <w:t>thick, galvanized steel.</w:t>
      </w:r>
    </w:p>
    <w:p w:rsidR="00802B7C" w:rsidRDefault="00802B7C" w:rsidP="00802B7C">
      <w:pPr>
        <w:pStyle w:val="PR1"/>
      </w:pPr>
      <w:r>
        <w:t xml:space="preserve">Hat-Shaped, Rigid Furring Channels: </w:t>
      </w:r>
      <w:r w:rsidR="00C565C5">
        <w:t xml:space="preserve">compliant with </w:t>
      </w:r>
      <w:r>
        <w:t>ASTM C 645.</w:t>
      </w:r>
    </w:p>
    <w:p w:rsidR="00802B7C" w:rsidRDefault="00802B7C" w:rsidP="00802B7C">
      <w:pPr>
        <w:pStyle w:val="PR1"/>
      </w:pPr>
      <w:r>
        <w:t xml:space="preserve">Resilient Furring Channels: </w:t>
      </w:r>
      <w:r w:rsidRPr="00BF7865">
        <w:t>1/2-inch-</w:t>
      </w:r>
      <w:r>
        <w:t>deep, steel sheet members designed to reduce sound transmission.</w:t>
      </w:r>
    </w:p>
    <w:p w:rsidR="00802B7C" w:rsidRPr="00F043A7" w:rsidRDefault="00802B7C" w:rsidP="00802B7C">
      <w:pPr>
        <w:pStyle w:val="PR2"/>
        <w:spacing w:before="240"/>
      </w:pPr>
      <w:r w:rsidRPr="00F043A7">
        <w:t>Basis-of-Design Product</w:t>
      </w:r>
      <w:r>
        <w:t>: Subject to compliance with requirements, provide Super Stud Building Products, Inc.</w:t>
      </w:r>
      <w:r w:rsidR="00296CEB">
        <w:t xml:space="preserve"> RC1 or RC2.</w:t>
      </w:r>
    </w:p>
    <w:p w:rsidR="00802B7C" w:rsidRDefault="00802B7C" w:rsidP="00802B7C">
      <w:pPr>
        <w:pStyle w:val="PR2"/>
        <w:spacing w:before="240"/>
      </w:pPr>
      <w:r>
        <w:t xml:space="preserve">Configuration: </w:t>
      </w:r>
      <w:r w:rsidRPr="00296CEB">
        <w:t>Asymmetrical</w:t>
      </w:r>
      <w:r w:rsidR="00296CEB" w:rsidRPr="00296CEB">
        <w:t xml:space="preserve"> single leg (RC1) or two-legged (hat-shaped, RC2)</w:t>
      </w:r>
      <w:r>
        <w:t>.</w:t>
      </w:r>
    </w:p>
    <w:p w:rsidR="00802B7C" w:rsidRDefault="00802B7C" w:rsidP="00802B7C">
      <w:pPr>
        <w:pStyle w:val="PR1"/>
      </w:pPr>
      <w:r>
        <w:t xml:space="preserve">Z-Shaped Furring: With </w:t>
      </w:r>
      <w:proofErr w:type="spellStart"/>
      <w:r>
        <w:t>nonslotted</w:t>
      </w:r>
      <w:proofErr w:type="spellEnd"/>
      <w:r>
        <w:t xml:space="preserve"> web, face </w:t>
      </w:r>
      <w:r w:rsidRPr="00296CEB">
        <w:rPr>
          <w:color w:val="000000" w:themeColor="text1"/>
        </w:rPr>
        <w:t xml:space="preserve">flange of </w:t>
      </w:r>
      <w:r w:rsidR="00296CEB" w:rsidRPr="00296CEB">
        <w:rPr>
          <w:rStyle w:val="IP"/>
          <w:color w:val="000000" w:themeColor="text1"/>
        </w:rPr>
        <w:t>minimum 1</w:t>
      </w:r>
      <w:r w:rsidRPr="00296CEB">
        <w:rPr>
          <w:rStyle w:val="IP"/>
          <w:color w:val="000000" w:themeColor="text1"/>
        </w:rPr>
        <w:t xml:space="preserve"> inch</w:t>
      </w:r>
      <w:r w:rsidRPr="00296CEB">
        <w:rPr>
          <w:color w:val="000000" w:themeColor="text1"/>
        </w:rPr>
        <w:t xml:space="preserve">, wall attachment flange of </w:t>
      </w:r>
      <w:r w:rsidR="00296CEB" w:rsidRPr="00296CEB">
        <w:rPr>
          <w:rStyle w:val="IP"/>
          <w:color w:val="000000" w:themeColor="text1"/>
        </w:rPr>
        <w:t>1</w:t>
      </w:r>
      <w:r w:rsidRPr="00296CEB">
        <w:rPr>
          <w:rStyle w:val="IP"/>
          <w:color w:val="000000" w:themeColor="text1"/>
        </w:rPr>
        <w:t xml:space="preserve"> inch</w:t>
      </w:r>
      <w:r w:rsidRPr="00296CEB">
        <w:rPr>
          <w:color w:val="000000" w:themeColor="text1"/>
        </w:rPr>
        <w:t xml:space="preserve">, minimum uncoated-metal thickness of </w:t>
      </w:r>
      <w:r w:rsidRPr="00296CEB">
        <w:rPr>
          <w:rStyle w:val="IP"/>
          <w:color w:val="000000" w:themeColor="text1"/>
        </w:rPr>
        <w:t>0.0179 inch</w:t>
      </w:r>
      <w:r w:rsidRPr="00296CEB">
        <w:rPr>
          <w:color w:val="000000" w:themeColor="text1"/>
        </w:rPr>
        <w:t>,</w:t>
      </w:r>
      <w:r>
        <w:t xml:space="preserve"> and depth required to fit insulation thickness indicated.</w:t>
      </w:r>
    </w:p>
    <w:p w:rsidR="00802B7C" w:rsidRDefault="00802B7C" w:rsidP="00802B7C">
      <w:pPr>
        <w:pStyle w:val="ART"/>
      </w:pPr>
      <w:r>
        <w:t>SUSPENSION SYSTEMS</w:t>
      </w:r>
    </w:p>
    <w:p w:rsidR="00802B7C" w:rsidRDefault="00802B7C" w:rsidP="00802B7C">
      <w:pPr>
        <w:pStyle w:val="PR1"/>
      </w:pPr>
      <w:r>
        <w:t xml:space="preserve">Tie Wire: ASTM A 641/A 641M, Class 1 zinc coating, soft temper, </w:t>
      </w:r>
      <w:r w:rsidRPr="00296CEB">
        <w:t>0.062-inch-</w:t>
      </w:r>
      <w:r>
        <w:t xml:space="preserve">diameter wire, or double strand of </w:t>
      </w:r>
      <w:r w:rsidRPr="00296CEB">
        <w:t>0.048-inch-</w:t>
      </w:r>
      <w:r>
        <w:t>diameter wire.</w:t>
      </w:r>
    </w:p>
    <w:p w:rsidR="00802B7C" w:rsidRDefault="00802B7C" w:rsidP="00802B7C">
      <w:pPr>
        <w:pStyle w:val="PR1"/>
      </w:pPr>
      <w:r>
        <w:t>Hanger Attachments to Concrete:</w:t>
      </w:r>
    </w:p>
    <w:p w:rsidR="00802B7C" w:rsidRDefault="00802B7C" w:rsidP="00802B7C">
      <w:pPr>
        <w:pStyle w:val="PR2"/>
        <w:spacing w:before="240"/>
      </w:pPr>
      <w:r>
        <w:t>Expansion Anchors: Fabricated from corrosion-resistant materials, with allowable load or strength design capacities calculated according to ICC-ES AC193 and ACI 318 greater than or equal to the design load, as determined by testing per ASTM E 488/E 488M conducted by a qualified testing agency.</w:t>
      </w:r>
    </w:p>
    <w:p w:rsidR="00802B7C" w:rsidRDefault="00802B7C" w:rsidP="00802B7C">
      <w:pPr>
        <w:pStyle w:val="PR2"/>
      </w:pPr>
      <w: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00802B7C" w:rsidRDefault="00802B7C" w:rsidP="00802B7C">
      <w:pPr>
        <w:pStyle w:val="PR1"/>
      </w:pPr>
      <w:r>
        <w:t>Wire Hangers: ASTM </w:t>
      </w:r>
      <w:proofErr w:type="gramStart"/>
      <w:r>
        <w:t>A</w:t>
      </w:r>
      <w:proofErr w:type="gramEnd"/>
      <w:r>
        <w:t xml:space="preserve"> 641/A 641M, Class 1 zinc coating, soft temper, </w:t>
      </w:r>
      <w:r>
        <w:rPr>
          <w:rStyle w:val="IP"/>
        </w:rPr>
        <w:t>0.16 inch</w:t>
      </w:r>
      <w:r>
        <w:rPr>
          <w:rStyle w:val="SI"/>
        </w:rPr>
        <w:t xml:space="preserve"> </w:t>
      </w:r>
      <w:r>
        <w:t>in diameter.</w:t>
      </w:r>
    </w:p>
    <w:p w:rsidR="00802B7C" w:rsidRDefault="00802B7C" w:rsidP="00802B7C">
      <w:pPr>
        <w:pStyle w:val="PR1"/>
      </w:pPr>
      <w:r>
        <w:lastRenderedPageBreak/>
        <w:t xml:space="preserve">Flat Hangers: Steel sheet, </w:t>
      </w:r>
      <w:r w:rsidRPr="00296CEB">
        <w:t>1 by 3/16 inch by length indicated</w:t>
      </w:r>
      <w:r>
        <w:t>.</w:t>
      </w:r>
    </w:p>
    <w:p w:rsidR="00802B7C" w:rsidRDefault="00802B7C" w:rsidP="00802B7C">
      <w:pPr>
        <w:pStyle w:val="PR1"/>
      </w:pPr>
      <w:r>
        <w:t xml:space="preserve">Carrying Channels: </w:t>
      </w:r>
      <w:r w:rsidR="00296CEB">
        <w:t>cold-rolled channel (CRC)</w:t>
      </w:r>
      <w:r>
        <w:t xml:space="preserve">, commercial-steel sheet with a base-metal thickness of </w:t>
      </w:r>
      <w:r w:rsidRPr="00296CEB">
        <w:t>0.0538 inch (</w:t>
      </w:r>
      <w:r w:rsidR="00296CEB" w:rsidRPr="00296CEB">
        <w:t xml:space="preserve">54 mil, 16 </w:t>
      </w:r>
      <w:proofErr w:type="gramStart"/>
      <w:r w:rsidR="00296CEB" w:rsidRPr="00296CEB">
        <w:t>gauge</w:t>
      </w:r>
      <w:proofErr w:type="gramEnd"/>
      <w:r w:rsidRPr="00296CEB">
        <w:t>)</w:t>
      </w:r>
      <w:r w:rsidR="00296CEB">
        <w:t>, minimum 1-1/2 inch depth,</w:t>
      </w:r>
      <w:r>
        <w:t xml:space="preserve"> and minimum </w:t>
      </w:r>
      <w:r w:rsidRPr="00296CEB">
        <w:t xml:space="preserve">1/2-inch- </w:t>
      </w:r>
      <w:r>
        <w:t>wide flanges.</w:t>
      </w:r>
    </w:p>
    <w:p w:rsidR="00296CEB" w:rsidRDefault="00296CEB" w:rsidP="00296CEB">
      <w:pPr>
        <w:pStyle w:val="PR1"/>
      </w:pPr>
      <w:r>
        <w:t>Hat-Shaped, Rigid Furring Channels: compliant with ASTM C 645.</w:t>
      </w:r>
    </w:p>
    <w:p w:rsidR="00BF7865" w:rsidRDefault="00BF7865" w:rsidP="00BF7865">
      <w:pPr>
        <w:pStyle w:val="PR1"/>
      </w:pPr>
      <w:r>
        <w:t xml:space="preserve">Resilient Furring Channels: </w:t>
      </w:r>
      <w:r w:rsidRPr="00BF7865">
        <w:t>1/2-inch-</w:t>
      </w:r>
      <w:r>
        <w:t>deep, steel sheet members designed to reduce sound transmission.</w:t>
      </w:r>
    </w:p>
    <w:p w:rsidR="00BF7865" w:rsidRPr="00F043A7" w:rsidRDefault="00BF7865" w:rsidP="00BF7865">
      <w:pPr>
        <w:pStyle w:val="PR2"/>
        <w:spacing w:before="240"/>
      </w:pPr>
      <w:r w:rsidRPr="00F043A7">
        <w:t>Basis-of-Design Product</w:t>
      </w:r>
      <w:r>
        <w:t>: Subject to compliance with requirements, provide Super Stud Building Products, Inc. RC1 or RC2.</w:t>
      </w:r>
    </w:p>
    <w:p w:rsidR="00BF7865" w:rsidRDefault="00BF7865" w:rsidP="00BF7865">
      <w:pPr>
        <w:pStyle w:val="PR2"/>
        <w:spacing w:before="240"/>
      </w:pPr>
      <w:r>
        <w:t xml:space="preserve">Configuration: </w:t>
      </w:r>
      <w:r w:rsidRPr="00296CEB">
        <w:t>Asymmetrical single leg (RC1) or two-legged (hat-shaped, RC2)</w:t>
      </w:r>
      <w:r>
        <w:t>.</w:t>
      </w:r>
    </w:p>
    <w:p w:rsidR="00802B7C" w:rsidRDefault="00802B7C" w:rsidP="00802B7C">
      <w:pPr>
        <w:pStyle w:val="PR1"/>
      </w:pPr>
      <w:r>
        <w:t>Grid Suspension System for Gypsum Board Ceilings: ASTM C 645, direct-hung system composed of main beams and cross-furring members that interlock.</w:t>
      </w:r>
    </w:p>
    <w:p w:rsidR="00802B7C" w:rsidRPr="00353653" w:rsidRDefault="00802B7C" w:rsidP="00802B7C">
      <w:pPr>
        <w:pStyle w:val="PR2"/>
        <w:spacing w:before="240"/>
      </w:pPr>
      <w:r w:rsidRPr="00353653">
        <w:t xml:space="preserve">Manufacturers: Subject to compliance with requirements, </w:t>
      </w:r>
      <w:r w:rsidRPr="00BF7865">
        <w:t>available manufacturers offering products that may be incorporated into the Work include, but are not limited to, the following</w:t>
      </w:r>
      <w:r w:rsidRPr="00353653">
        <w:t>:</w:t>
      </w:r>
    </w:p>
    <w:p w:rsidR="00802B7C" w:rsidRPr="0036095F" w:rsidRDefault="00802B7C" w:rsidP="00802B7C">
      <w:pPr>
        <w:pStyle w:val="PR3"/>
        <w:spacing w:before="240"/>
      </w:pPr>
      <w:r w:rsidRPr="0036095F">
        <w:t>Armstrong World Industries, Inc.</w:t>
      </w:r>
    </w:p>
    <w:p w:rsidR="00802B7C" w:rsidRPr="0036095F" w:rsidRDefault="00802B7C" w:rsidP="00802B7C">
      <w:pPr>
        <w:pStyle w:val="PR3"/>
      </w:pPr>
      <w:r w:rsidRPr="0036095F">
        <w:t>Chicago Metallic Corporation.</w:t>
      </w:r>
    </w:p>
    <w:p w:rsidR="00802B7C" w:rsidRPr="0036095F" w:rsidRDefault="00802B7C" w:rsidP="00802B7C">
      <w:pPr>
        <w:pStyle w:val="PR3"/>
      </w:pPr>
      <w:r w:rsidRPr="0036095F">
        <w:t>United State Gypsum Company.</w:t>
      </w:r>
    </w:p>
    <w:p w:rsidR="00802B7C" w:rsidRDefault="00802B7C" w:rsidP="00802B7C">
      <w:pPr>
        <w:pStyle w:val="PRT"/>
      </w:pPr>
      <w:r>
        <w:t>EXECUTION</w:t>
      </w:r>
    </w:p>
    <w:p w:rsidR="00802B7C" w:rsidRDefault="00802B7C" w:rsidP="00802B7C">
      <w:pPr>
        <w:pStyle w:val="ART"/>
      </w:pPr>
      <w:r>
        <w:t>EXAMINATION</w:t>
      </w:r>
    </w:p>
    <w:p w:rsidR="00802B7C" w:rsidRDefault="00802B7C" w:rsidP="00802B7C">
      <w:pPr>
        <w:pStyle w:val="PR1"/>
      </w:pPr>
      <w:r>
        <w:t>Examine areas and substrates, with Installer present, and including welded hollow-metal frames, cast-in anchors, and structural framing, for compliance with requirements and other conditions affecting performance of the Work.</w:t>
      </w:r>
    </w:p>
    <w:p w:rsidR="00802B7C" w:rsidRDefault="00802B7C" w:rsidP="00802B7C">
      <w:pPr>
        <w:pStyle w:val="PR1"/>
      </w:pPr>
      <w:r>
        <w:t>Proceed with installation only after unsatisfactory conditions have been corrected.</w:t>
      </w:r>
    </w:p>
    <w:p w:rsidR="00802B7C" w:rsidRDefault="00802B7C" w:rsidP="00802B7C">
      <w:pPr>
        <w:pStyle w:val="ART"/>
      </w:pPr>
      <w:r>
        <w:t>PREPARATION</w:t>
      </w:r>
    </w:p>
    <w:p w:rsidR="00802B7C" w:rsidRDefault="00802B7C" w:rsidP="00802B7C">
      <w:pPr>
        <w:pStyle w:val="PR1"/>
      </w:pPr>
      <w: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rsidR="00802B7C" w:rsidRDefault="00802B7C" w:rsidP="00802B7C">
      <w:pPr>
        <w:pStyle w:val="PR2"/>
        <w:spacing w:before="240"/>
      </w:pPr>
      <w:r>
        <w:t>Furnish concrete inserts and other devices indicated to other trades for installation in advance of time needed for coordination and construction.</w:t>
      </w:r>
    </w:p>
    <w:p w:rsidR="00802B7C" w:rsidRDefault="00802B7C" w:rsidP="00802B7C">
      <w:pPr>
        <w:pStyle w:val="PR1"/>
      </w:pPr>
      <w:r>
        <w:t>Coordination with Sprayed Fire-Resistive Materials:</w:t>
      </w:r>
    </w:p>
    <w:p w:rsidR="00802B7C" w:rsidRDefault="00802B7C" w:rsidP="00802B7C">
      <w:pPr>
        <w:pStyle w:val="PR2"/>
        <w:spacing w:before="240"/>
      </w:pPr>
      <w:r>
        <w:lastRenderedPageBreak/>
        <w:t xml:space="preserve">Before sprayed fire-resistive materials are applied, attach </w:t>
      </w:r>
      <w:r w:rsidR="00927AC2">
        <w:t xml:space="preserve">z-furring channels, </w:t>
      </w:r>
      <w:r>
        <w:t>offset anchor plates</w:t>
      </w:r>
      <w:r w:rsidR="00927AC2">
        <w:t>,</w:t>
      </w:r>
      <w:r>
        <w:t xml:space="preserve"> or ceiling runners (tracks) to surfaces indicated to receive sprayed fire-resistive materials. Where </w:t>
      </w:r>
      <w:r w:rsidR="00927AC2">
        <w:t xml:space="preserve">z-furring or </w:t>
      </w:r>
      <w:r>
        <w:t xml:space="preserve">offset anchor plates are required, provide </w:t>
      </w:r>
      <w:r w:rsidR="00927AC2">
        <w:t xml:space="preserve">channels or </w:t>
      </w:r>
      <w:r>
        <w:t xml:space="preserve">continuous plates fastened to building structure not more than </w:t>
      </w:r>
      <w:r w:rsidRPr="00927AC2">
        <w:rPr>
          <w:rStyle w:val="IP"/>
          <w:color w:val="000000" w:themeColor="text1"/>
        </w:rPr>
        <w:t>24 inches</w:t>
      </w:r>
      <w:r>
        <w:rPr>
          <w:rStyle w:val="SI"/>
        </w:rPr>
        <w:t xml:space="preserve"> </w:t>
      </w:r>
      <w:r>
        <w:t>o.c.</w:t>
      </w:r>
    </w:p>
    <w:p w:rsidR="00802B7C" w:rsidRDefault="00802B7C" w:rsidP="00802B7C">
      <w:pPr>
        <w:pStyle w:val="PR2"/>
      </w:pPr>
      <w:r>
        <w:t>After sprayed fire-resistive materials are applied, remove them only to extent necessary for installation of non-load-bearing steel framing. Do not reduce thickness of fire-resistive materials below that are required for fire-resistance ratings indicated. Protect adjacent fire-resistive materials from damage.</w:t>
      </w:r>
    </w:p>
    <w:p w:rsidR="00802B7C" w:rsidRDefault="00802B7C" w:rsidP="00802B7C">
      <w:pPr>
        <w:pStyle w:val="ART"/>
      </w:pPr>
      <w:r>
        <w:t>INSTALLATION, GENERAL</w:t>
      </w:r>
    </w:p>
    <w:p w:rsidR="00802B7C" w:rsidRDefault="00802B7C" w:rsidP="00802B7C">
      <w:pPr>
        <w:pStyle w:val="PR1"/>
      </w:pPr>
      <w:r>
        <w:t>Installation Standard: ASTM C 754.</w:t>
      </w:r>
    </w:p>
    <w:p w:rsidR="00802B7C" w:rsidRDefault="00802B7C" w:rsidP="00802B7C">
      <w:pPr>
        <w:pStyle w:val="PR2"/>
        <w:spacing w:before="240"/>
      </w:pPr>
      <w:r>
        <w:t>Gypsum Plaster Assemblies: Also comply with requirements in ASTM C 841 that apply to framing installation.</w:t>
      </w:r>
    </w:p>
    <w:p w:rsidR="00802B7C" w:rsidRDefault="00802B7C" w:rsidP="00802B7C">
      <w:pPr>
        <w:pStyle w:val="PR2"/>
      </w:pPr>
      <w:r>
        <w:t xml:space="preserve">Portland </w:t>
      </w:r>
      <w:proofErr w:type="gramStart"/>
      <w:r>
        <w:t>Cement</w:t>
      </w:r>
      <w:proofErr w:type="gramEnd"/>
      <w:r>
        <w:t xml:space="preserve"> Plaster Assemblies: Also comply with requirements in ASTM C 1063 that apply to framing installation.</w:t>
      </w:r>
    </w:p>
    <w:p w:rsidR="00802B7C" w:rsidRDefault="00802B7C" w:rsidP="00802B7C">
      <w:pPr>
        <w:pStyle w:val="PR2"/>
      </w:pPr>
      <w:r>
        <w:t>Gypsum Veneer Plaster Assemblies: Also comply with requirements in ASTM C 844 that apply to framing installation.</w:t>
      </w:r>
    </w:p>
    <w:p w:rsidR="00802B7C" w:rsidRDefault="00802B7C" w:rsidP="00802B7C">
      <w:pPr>
        <w:pStyle w:val="PR2"/>
      </w:pPr>
      <w:r>
        <w:t>Gypsum Board Assemblies: Also comply with requirements in ASTM C 840 that apply to framing installation.</w:t>
      </w:r>
    </w:p>
    <w:p w:rsidR="00802B7C" w:rsidRDefault="00802B7C" w:rsidP="00802B7C">
      <w:pPr>
        <w:pStyle w:val="PR1"/>
      </w:pPr>
      <w:r>
        <w:t>Install framing and accessories plumb, square, and true to line, with connections securely fastened.</w:t>
      </w:r>
    </w:p>
    <w:p w:rsidR="00802B7C" w:rsidRDefault="00802B7C" w:rsidP="00802B7C">
      <w:pPr>
        <w:pStyle w:val="PR1"/>
      </w:pPr>
      <w:r>
        <w:t>Install supplementary framing, and blocking to support fixtures, equipment services, heavy trim, grab bars, toilet accessories, furnishings, or similar construction.</w:t>
      </w:r>
    </w:p>
    <w:p w:rsidR="00802B7C" w:rsidRDefault="00802B7C" w:rsidP="00802B7C">
      <w:pPr>
        <w:pStyle w:val="PR1"/>
      </w:pPr>
      <w:r>
        <w:t>Install bracing at terminations in assemblies.</w:t>
      </w:r>
    </w:p>
    <w:p w:rsidR="00802B7C" w:rsidRDefault="00802B7C" w:rsidP="00802B7C">
      <w:pPr>
        <w:pStyle w:val="PR1"/>
      </w:pPr>
      <w:r>
        <w:t>Do not bridge building control and expansion joints with non-load-bearing steel framing members. Frame both sides of joints independently.</w:t>
      </w:r>
    </w:p>
    <w:p w:rsidR="00802B7C" w:rsidRDefault="00802B7C" w:rsidP="00802B7C">
      <w:pPr>
        <w:pStyle w:val="ART"/>
      </w:pPr>
      <w:r>
        <w:t>INSTALLING FRAMED ASSEMBLIES</w:t>
      </w:r>
    </w:p>
    <w:p w:rsidR="00802B7C" w:rsidRDefault="00802B7C" w:rsidP="00802B7C">
      <w:pPr>
        <w:pStyle w:val="PR1"/>
      </w:pPr>
      <w:r>
        <w:t xml:space="preserve">Install framing system components according to </w:t>
      </w:r>
      <w:proofErr w:type="spellStart"/>
      <w:r>
        <w:t>spacings</w:t>
      </w:r>
      <w:proofErr w:type="spellEnd"/>
      <w:r>
        <w:t xml:space="preserve"> indicated, but not greater than </w:t>
      </w:r>
      <w:proofErr w:type="spellStart"/>
      <w:r>
        <w:t>spacings</w:t>
      </w:r>
      <w:proofErr w:type="spellEnd"/>
      <w:r>
        <w:t xml:space="preserve"> required by referenced installation standards for assembly types.</w:t>
      </w:r>
    </w:p>
    <w:p w:rsidR="00802B7C" w:rsidRDefault="00802B7C" w:rsidP="00802B7C">
      <w:pPr>
        <w:pStyle w:val="PR1"/>
      </w:pPr>
      <w:r>
        <w:t>Where studs are installed directly against exterior masonry walls or dissimilar metals at exterior walls, install isolation strip between studs and exterior wall.</w:t>
      </w:r>
    </w:p>
    <w:p w:rsidR="00802B7C" w:rsidRDefault="00802B7C" w:rsidP="00802B7C">
      <w:pPr>
        <w:pStyle w:val="PR1"/>
      </w:pPr>
      <w:r>
        <w:t>Install studs so flanges within framing system point in same direction.</w:t>
      </w:r>
    </w:p>
    <w:p w:rsidR="00802B7C" w:rsidRDefault="00802B7C" w:rsidP="00802B7C">
      <w:pPr>
        <w:pStyle w:val="PR1"/>
      </w:pPr>
      <w:r>
        <w:t>Install tracks (runners) at floors and overhead supports. Extend framing full height to structural supports or substrates above suspended ceilings except where partitions are indicated to terminate at suspended ceilings. Continue framing around ducts that penetrate partitions above ceiling.</w:t>
      </w:r>
    </w:p>
    <w:p w:rsidR="00802B7C" w:rsidRDefault="00802B7C" w:rsidP="00802B7C">
      <w:pPr>
        <w:pStyle w:val="PR2"/>
        <w:spacing w:before="240"/>
      </w:pPr>
      <w:r>
        <w:lastRenderedPageBreak/>
        <w:t>Slip-Type Head Joints: Where framing extends to overhead structural supports, install to produce joints at tops of framing systems that prevent axial loading of finished assemblies.</w:t>
      </w:r>
    </w:p>
    <w:p w:rsidR="00802B7C" w:rsidRDefault="00802B7C" w:rsidP="00802B7C">
      <w:pPr>
        <w:pStyle w:val="PR2"/>
      </w:pPr>
      <w:r>
        <w:t>Door Openings: Screw vertical studs at jambs to jamb anchor clips on door frames; install runner track section (for cripple studs) at head and secure to jamb studs.</w:t>
      </w:r>
      <w:r w:rsidR="0022775D">
        <w:t xml:space="preserve">  Install two studs at each jamb unless otherwise indicated.</w:t>
      </w:r>
    </w:p>
    <w:p w:rsidR="00802B7C" w:rsidRDefault="00802B7C" w:rsidP="00802B7C">
      <w:pPr>
        <w:pStyle w:val="PR2"/>
      </w:pPr>
      <w:r>
        <w:t>Fire-Resistance-Rated Partitions: Install framing to comply with fire-resistance-rated assembly indicated and support closures and to make partitions continuous from floor to underside of solid structure.</w:t>
      </w:r>
    </w:p>
    <w:p w:rsidR="00802B7C" w:rsidRDefault="00802B7C" w:rsidP="00802B7C">
      <w:pPr>
        <w:pStyle w:val="PR3"/>
        <w:spacing w:before="240"/>
      </w:pPr>
      <w:proofErr w:type="spellStart"/>
      <w:r>
        <w:t>Firestop</w:t>
      </w:r>
      <w:proofErr w:type="spellEnd"/>
      <w:r>
        <w:t xml:space="preserve"> Track: Where indicated, install to maintain continuity of fire-resistance-rated assembly indicated.</w:t>
      </w:r>
    </w:p>
    <w:p w:rsidR="00802B7C" w:rsidRDefault="00802B7C" w:rsidP="00802B7C">
      <w:pPr>
        <w:pStyle w:val="PR2"/>
        <w:spacing w:before="240"/>
      </w:pPr>
      <w:r>
        <w:t>Sound-Rated Partitions: Install framing to comply with sound-rated assembly indicated.</w:t>
      </w:r>
    </w:p>
    <w:p w:rsidR="00802B7C" w:rsidRDefault="00802B7C" w:rsidP="00802B7C">
      <w:pPr>
        <w:pStyle w:val="PR2"/>
      </w:pPr>
      <w:r>
        <w:t>Curved Partitions:</w:t>
      </w:r>
    </w:p>
    <w:p w:rsidR="00802B7C" w:rsidRDefault="00802B7C" w:rsidP="00802B7C">
      <w:pPr>
        <w:pStyle w:val="PR3"/>
        <w:spacing w:before="240"/>
      </w:pPr>
      <w:r>
        <w:t>Bend track to uniform curve and locate straight lengths so they are tangent to arcs.</w:t>
      </w:r>
    </w:p>
    <w:p w:rsidR="00802B7C" w:rsidRDefault="00802B7C" w:rsidP="00802B7C">
      <w:pPr>
        <w:pStyle w:val="PR3"/>
      </w:pPr>
      <w:r>
        <w:t xml:space="preserve">Begin and end each arc with a stud, and space intermediate studs equally along arcs. On straight lengths of no fewer than two studs at ends of </w:t>
      </w:r>
      <w:r w:rsidRPr="0022775D">
        <w:rPr>
          <w:color w:val="000000" w:themeColor="text1"/>
        </w:rPr>
        <w:t xml:space="preserve">arcs, place studs </w:t>
      </w:r>
      <w:r w:rsidRPr="0022775D">
        <w:rPr>
          <w:rStyle w:val="IP"/>
          <w:color w:val="000000" w:themeColor="text1"/>
        </w:rPr>
        <w:t>6 inches</w:t>
      </w:r>
      <w:r w:rsidRPr="0022775D">
        <w:rPr>
          <w:rStyle w:val="SI"/>
          <w:color w:val="000000" w:themeColor="text1"/>
        </w:rPr>
        <w:t xml:space="preserve"> </w:t>
      </w:r>
      <w:r>
        <w:t>o.c.</w:t>
      </w:r>
    </w:p>
    <w:p w:rsidR="00802B7C" w:rsidRDefault="00802B7C" w:rsidP="00802B7C">
      <w:pPr>
        <w:pStyle w:val="PR1"/>
      </w:pPr>
      <w:r>
        <w:t>Direct Furring:</w:t>
      </w:r>
    </w:p>
    <w:p w:rsidR="00802B7C" w:rsidRDefault="00802B7C" w:rsidP="00802B7C">
      <w:pPr>
        <w:pStyle w:val="PR2"/>
        <w:spacing w:before="240"/>
      </w:pPr>
      <w:r>
        <w:t>Screw to wood framing.</w:t>
      </w:r>
    </w:p>
    <w:p w:rsidR="00802B7C" w:rsidRDefault="00802B7C" w:rsidP="00802B7C">
      <w:pPr>
        <w:pStyle w:val="PR2"/>
      </w:pPr>
      <w:r>
        <w:t xml:space="preserve">Attach to concrete or masonry with stub nails, screws designed for masonry attachment, or powder-driven fasteners spaced </w:t>
      </w:r>
      <w:r w:rsidRPr="0086176D">
        <w:t xml:space="preserve">24 inches </w:t>
      </w:r>
      <w:r>
        <w:t>o.c.</w:t>
      </w:r>
    </w:p>
    <w:p w:rsidR="00802B7C" w:rsidRDefault="00802B7C" w:rsidP="00802B7C">
      <w:pPr>
        <w:pStyle w:val="PR1"/>
      </w:pPr>
      <w:r>
        <w:t xml:space="preserve">Installation Tolerance: Install each framing member so fastening surfaces vary not more than </w:t>
      </w:r>
      <w:r w:rsidRPr="00280013">
        <w:t xml:space="preserve">1/8 inch </w:t>
      </w:r>
      <w:r>
        <w:t>from the plane formed by faces of adjacent framing.</w:t>
      </w:r>
    </w:p>
    <w:p w:rsidR="00802B7C" w:rsidRDefault="00802B7C" w:rsidP="00802B7C">
      <w:pPr>
        <w:pStyle w:val="ART"/>
      </w:pPr>
      <w:r>
        <w:t>INSTALLING SUSPENSION SYSTEMS</w:t>
      </w:r>
    </w:p>
    <w:p w:rsidR="00802B7C" w:rsidRDefault="00802B7C" w:rsidP="00802B7C">
      <w:pPr>
        <w:pStyle w:val="PR1"/>
      </w:pPr>
      <w:r>
        <w:t xml:space="preserve">Install suspension system components according to </w:t>
      </w:r>
      <w:proofErr w:type="spellStart"/>
      <w:r>
        <w:t>spacings</w:t>
      </w:r>
      <w:proofErr w:type="spellEnd"/>
      <w:r>
        <w:t xml:space="preserve"> indicated, but not greater than </w:t>
      </w:r>
      <w:proofErr w:type="spellStart"/>
      <w:r>
        <w:t>spacings</w:t>
      </w:r>
      <w:proofErr w:type="spellEnd"/>
      <w:r>
        <w:t xml:space="preserve"> required by referenced installation standards for assembly types.</w:t>
      </w:r>
    </w:p>
    <w:p w:rsidR="00802B7C" w:rsidRDefault="00802B7C" w:rsidP="00802B7C">
      <w:pPr>
        <w:pStyle w:val="PR1"/>
      </w:pPr>
      <w:r>
        <w:t>Isolate suspension systems from building structure where they abut or are penetrated by building structure to prevent transfer of loading imposed by structural movement.</w:t>
      </w:r>
    </w:p>
    <w:p w:rsidR="00802B7C" w:rsidRDefault="00802B7C" w:rsidP="00802B7C">
      <w:pPr>
        <w:pStyle w:val="PR1"/>
      </w:pPr>
      <w:r>
        <w:t>Suspend hangers from building structure as follows:</w:t>
      </w:r>
    </w:p>
    <w:p w:rsidR="00802B7C" w:rsidRDefault="00802B7C" w:rsidP="00802B7C">
      <w:pPr>
        <w:pStyle w:val="PR2"/>
        <w:spacing w:before="240"/>
      </w:pPr>
      <w:r>
        <w:t>Install hangers plumb and free from contact with insulation or other objects within ceiling plenum that are not part of supporting structural or suspension system.</w:t>
      </w:r>
    </w:p>
    <w:p w:rsidR="00802B7C" w:rsidRDefault="00802B7C" w:rsidP="00802B7C">
      <w:pPr>
        <w:pStyle w:val="PR3"/>
        <w:spacing w:before="240"/>
      </w:pPr>
      <w:r>
        <w:t xml:space="preserve">Splay hangers only where required to miss obstructions and offset resulting horizontal forces by bracing, </w:t>
      </w:r>
      <w:proofErr w:type="spellStart"/>
      <w:r>
        <w:t>countersplaying</w:t>
      </w:r>
      <w:proofErr w:type="spellEnd"/>
      <w:r>
        <w:t>, or other equally effective means.</w:t>
      </w:r>
    </w:p>
    <w:p w:rsidR="00802B7C" w:rsidRDefault="00802B7C" w:rsidP="00802B7C">
      <w:pPr>
        <w:pStyle w:val="PR2"/>
        <w:spacing w:before="240"/>
      </w:pPr>
      <w:r>
        <w:t xml:space="preserve">Where width of ducts and other construction within ceiling plenum produces hanger </w:t>
      </w:r>
      <w:proofErr w:type="spellStart"/>
      <w:r>
        <w:t>spacings</w:t>
      </w:r>
      <w:proofErr w:type="spellEnd"/>
      <w:r>
        <w:t xml:space="preserve"> that interfere with locations of hangers required to support standard suspension system members, install supplemental suspension members and hangers in the form of trapezes or equivalent devices.</w:t>
      </w:r>
    </w:p>
    <w:p w:rsidR="00802B7C" w:rsidRDefault="00802B7C" w:rsidP="00802B7C">
      <w:pPr>
        <w:pStyle w:val="PR2"/>
        <w:spacing w:before="240"/>
      </w:pPr>
      <w:r>
        <w:lastRenderedPageBreak/>
        <w:t>Wire Hangers: Secure by looping and wire tying, either directly to structures or to inserts, eye screws, or other devices and fasteners that are secure and appropriate for substrate, and in a manner that will not cause hangers to deteriorate or otherwise fail.</w:t>
      </w:r>
    </w:p>
    <w:p w:rsidR="00802B7C" w:rsidRDefault="00802B7C" w:rsidP="00802B7C">
      <w:pPr>
        <w:pStyle w:val="PR2"/>
      </w:pPr>
      <w:r>
        <w:t>Flat Hangers: Secure to structure, including intermediate framing members, by attaching to inserts, eye screws, or other devices and fasteners that are secure and appropriate for structure and hanger, and in a manner that will not cause hangers to deteriorate or otherwise fail.</w:t>
      </w:r>
    </w:p>
    <w:p w:rsidR="00802B7C" w:rsidRDefault="00802B7C" w:rsidP="00802B7C">
      <w:pPr>
        <w:pStyle w:val="PR2"/>
      </w:pPr>
      <w:r>
        <w:t>Do not attach hangers to permanent metal forms. Furnish cast-in-place hanger inserts that extend through forms.</w:t>
      </w:r>
    </w:p>
    <w:p w:rsidR="00802B7C" w:rsidRDefault="00802B7C" w:rsidP="00802B7C">
      <w:pPr>
        <w:pStyle w:val="PR2"/>
      </w:pPr>
      <w:r>
        <w:t>Do not connect or suspend steel framing from ducts, pipes, or conduit.</w:t>
      </w:r>
    </w:p>
    <w:p w:rsidR="00802B7C" w:rsidRDefault="00802B7C" w:rsidP="00802B7C">
      <w:pPr>
        <w:pStyle w:val="PR1"/>
      </w:pPr>
      <w:r>
        <w:t>Fire-Resistance-Rated Assemblies: Wire tie furring channels to supports.</w:t>
      </w:r>
    </w:p>
    <w:p w:rsidR="00802B7C" w:rsidRDefault="00802B7C" w:rsidP="00802B7C">
      <w:pPr>
        <w:pStyle w:val="PR1"/>
      </w:pPr>
      <w:r>
        <w:t>Grid Suspension Systems: Attach perimeter wall track or angle where grid suspension systems meet vertical surfaces. Mechanically join main beam and cross-furring members to each other and butt-cut to fit into wall track.</w:t>
      </w:r>
    </w:p>
    <w:p w:rsidR="00802B7C" w:rsidRDefault="00802B7C" w:rsidP="00802B7C">
      <w:pPr>
        <w:pStyle w:val="PR1"/>
      </w:pPr>
      <w:r>
        <w:t xml:space="preserve">Installation Tolerances: Install suspension systems that are level to within </w:t>
      </w:r>
      <w:r w:rsidRPr="00280013">
        <w:t xml:space="preserve">1/8 inch in 12 feet </w:t>
      </w:r>
      <w:r>
        <w:t>measured lengthwise on each member that will receive finishes and transversely between parallel members that will receive finishes.</w:t>
      </w:r>
    </w:p>
    <w:p w:rsidR="00802B7C" w:rsidRDefault="00802B7C" w:rsidP="00802B7C">
      <w:pPr>
        <w:pStyle w:val="EOS"/>
      </w:pPr>
      <w:r>
        <w:t>END OF SECTION 092216</w:t>
      </w:r>
    </w:p>
    <w:p w:rsidR="00EE1F35" w:rsidRPr="00802B7C" w:rsidRDefault="00EE1F35" w:rsidP="00802B7C"/>
    <w:sectPr w:rsidR="00EE1F35" w:rsidRPr="00802B7C" w:rsidSect="0045700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D0" w:rsidRDefault="00017FD0" w:rsidP="00D50060">
      <w:pPr>
        <w:spacing w:after="0" w:line="240" w:lineRule="auto"/>
      </w:pPr>
      <w:r>
        <w:separator/>
      </w:r>
    </w:p>
  </w:endnote>
  <w:endnote w:type="continuationSeparator" w:id="0">
    <w:p w:rsidR="00017FD0" w:rsidRDefault="00017FD0" w:rsidP="00D50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BB" w:rsidRDefault="00802B7C">
    <w:pPr>
      <w:pStyle w:val="Footer"/>
    </w:pPr>
    <w:r>
      <w:t>NON-STRUCTURAL</w:t>
    </w:r>
    <w:r w:rsidR="00995CBB">
      <w:t xml:space="preserve"> METAL FRAMING</w:t>
    </w:r>
    <w:r w:rsidR="00995CBB">
      <w:ptab w:relativeTo="margin" w:alignment="right" w:leader="none"/>
    </w:r>
    <w:r w:rsidR="00995CBB">
      <w:t>0</w:t>
    </w:r>
    <w:r w:rsidR="004948AA">
      <w:t>9 22 16</w:t>
    </w:r>
    <w:r w:rsidR="00995CBB">
      <w:t xml:space="preserve"> - </w:t>
    </w:r>
    <w:fldSimple w:instr=" PAGE   \* MERGEFORMAT ">
      <w:r w:rsidR="001349B1">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D0" w:rsidRDefault="00017FD0" w:rsidP="00D50060">
      <w:pPr>
        <w:spacing w:after="0" w:line="240" w:lineRule="auto"/>
      </w:pPr>
      <w:r>
        <w:separator/>
      </w:r>
    </w:p>
  </w:footnote>
  <w:footnote w:type="continuationSeparator" w:id="0">
    <w:p w:rsidR="00017FD0" w:rsidRDefault="00017FD0" w:rsidP="00D500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20"/>
  <w:characterSpacingControl w:val="doNotCompress"/>
  <w:footnotePr>
    <w:footnote w:id="-1"/>
    <w:footnote w:id="0"/>
  </w:footnotePr>
  <w:endnotePr>
    <w:endnote w:id="-1"/>
    <w:endnote w:id="0"/>
  </w:endnotePr>
  <w:compat/>
  <w:rsids>
    <w:rsidRoot w:val="00153ED9"/>
    <w:rsid w:val="00004164"/>
    <w:rsid w:val="00017FD0"/>
    <w:rsid w:val="00074CE9"/>
    <w:rsid w:val="000E07DF"/>
    <w:rsid w:val="001349B1"/>
    <w:rsid w:val="00153ED9"/>
    <w:rsid w:val="0021659C"/>
    <w:rsid w:val="0022775D"/>
    <w:rsid w:val="00257993"/>
    <w:rsid w:val="00280013"/>
    <w:rsid w:val="002903DE"/>
    <w:rsid w:val="00296CEB"/>
    <w:rsid w:val="002C540B"/>
    <w:rsid w:val="003E16F9"/>
    <w:rsid w:val="003F5B44"/>
    <w:rsid w:val="00457008"/>
    <w:rsid w:val="00461172"/>
    <w:rsid w:val="004948AA"/>
    <w:rsid w:val="004B6DA9"/>
    <w:rsid w:val="00517D04"/>
    <w:rsid w:val="00530992"/>
    <w:rsid w:val="00573FC6"/>
    <w:rsid w:val="005C775F"/>
    <w:rsid w:val="0064267F"/>
    <w:rsid w:val="006A25EC"/>
    <w:rsid w:val="006D0845"/>
    <w:rsid w:val="007233EA"/>
    <w:rsid w:val="007C04CC"/>
    <w:rsid w:val="00802B7C"/>
    <w:rsid w:val="008237D1"/>
    <w:rsid w:val="008339E2"/>
    <w:rsid w:val="0086176D"/>
    <w:rsid w:val="00883E11"/>
    <w:rsid w:val="008F45FD"/>
    <w:rsid w:val="00900ED2"/>
    <w:rsid w:val="00912AD8"/>
    <w:rsid w:val="00927AC2"/>
    <w:rsid w:val="00995CBB"/>
    <w:rsid w:val="00A06B9A"/>
    <w:rsid w:val="00A1650C"/>
    <w:rsid w:val="00A43A09"/>
    <w:rsid w:val="00AB3C2C"/>
    <w:rsid w:val="00B35CCB"/>
    <w:rsid w:val="00BF7865"/>
    <w:rsid w:val="00C00EEB"/>
    <w:rsid w:val="00C565C5"/>
    <w:rsid w:val="00C7555D"/>
    <w:rsid w:val="00CA1199"/>
    <w:rsid w:val="00D50060"/>
    <w:rsid w:val="00DB6EEB"/>
    <w:rsid w:val="00E83F6C"/>
    <w:rsid w:val="00ED4C34"/>
    <w:rsid w:val="00EE1F35"/>
    <w:rsid w:val="00F667D8"/>
    <w:rsid w:val="00F80FA5"/>
    <w:rsid w:val="00FC7F10"/>
    <w:rsid w:val="00FF6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Normal"/>
    <w:rsid w:val="0064267F"/>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64267F"/>
    <w:rPr>
      <w:rFonts w:cs="Times New Roman"/>
    </w:rPr>
  </w:style>
  <w:style w:type="character" w:customStyle="1" w:styleId="NAM">
    <w:name w:val="NAM"/>
    <w:basedOn w:val="DefaultParagraphFont"/>
    <w:rsid w:val="0064267F"/>
    <w:rPr>
      <w:rFonts w:cs="Times New Roman"/>
    </w:rPr>
  </w:style>
  <w:style w:type="paragraph" w:customStyle="1" w:styleId="HDR">
    <w:name w:val="HDR"/>
    <w:basedOn w:val="Normal"/>
    <w:rsid w:val="0064267F"/>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FTR">
    <w:name w:val="FTR"/>
    <w:basedOn w:val="Normal"/>
    <w:rsid w:val="0064267F"/>
    <w:pPr>
      <w:tabs>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64267F"/>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64267F"/>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64267F"/>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64267F"/>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64267F"/>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64267F"/>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rsid w:val="0064267F"/>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64267F"/>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64267F"/>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TB1">
    <w:name w:val="TB1"/>
    <w:basedOn w:val="Normal"/>
    <w:next w:val="PR1"/>
    <w:rsid w:val="0064267F"/>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B2">
    <w:name w:val="TB2"/>
    <w:basedOn w:val="Normal"/>
    <w:next w:val="PR2"/>
    <w:rsid w:val="0064267F"/>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B3">
    <w:name w:val="TB3"/>
    <w:basedOn w:val="Normal"/>
    <w:next w:val="PR3"/>
    <w:rsid w:val="0064267F"/>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B4">
    <w:name w:val="TB4"/>
    <w:basedOn w:val="Normal"/>
    <w:next w:val="PR4"/>
    <w:rsid w:val="0064267F"/>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B5">
    <w:name w:val="TB5"/>
    <w:basedOn w:val="Normal"/>
    <w:next w:val="PR5"/>
    <w:rsid w:val="0064267F"/>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F1">
    <w:name w:val="TF1"/>
    <w:basedOn w:val="Normal"/>
    <w:next w:val="TB1"/>
    <w:rsid w:val="0064267F"/>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F2">
    <w:name w:val="TF2"/>
    <w:basedOn w:val="Normal"/>
    <w:next w:val="TB2"/>
    <w:rsid w:val="0064267F"/>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F3">
    <w:name w:val="TF3"/>
    <w:basedOn w:val="Normal"/>
    <w:next w:val="TB3"/>
    <w:rsid w:val="0064267F"/>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F4">
    <w:name w:val="TF4"/>
    <w:basedOn w:val="Normal"/>
    <w:next w:val="TB4"/>
    <w:rsid w:val="0064267F"/>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F5">
    <w:name w:val="TF5"/>
    <w:basedOn w:val="Normal"/>
    <w:next w:val="TB5"/>
    <w:rsid w:val="0064267F"/>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CH">
    <w:name w:val="TCH"/>
    <w:basedOn w:val="Normal"/>
    <w:rsid w:val="0064267F"/>
    <w:pPr>
      <w:suppressAutoHyphens/>
      <w:spacing w:after="0" w:line="240" w:lineRule="auto"/>
    </w:pPr>
    <w:rPr>
      <w:rFonts w:ascii="Times New Roman" w:eastAsia="Times New Roman" w:hAnsi="Times New Roman" w:cs="Times New Roman"/>
      <w:szCs w:val="20"/>
    </w:rPr>
  </w:style>
  <w:style w:type="paragraph" w:customStyle="1" w:styleId="TCE">
    <w:name w:val="TCE"/>
    <w:basedOn w:val="Normal"/>
    <w:rsid w:val="0064267F"/>
    <w:pPr>
      <w:suppressAutoHyphens/>
      <w:spacing w:after="0" w:line="240" w:lineRule="auto"/>
      <w:ind w:left="144" w:hanging="144"/>
    </w:pPr>
    <w:rPr>
      <w:rFonts w:ascii="Times New Roman" w:eastAsia="Times New Roman" w:hAnsi="Times New Roman" w:cs="Times New Roman"/>
      <w:szCs w:val="20"/>
    </w:rPr>
  </w:style>
  <w:style w:type="paragraph" w:customStyle="1" w:styleId="EOS">
    <w:name w:val="EOS"/>
    <w:basedOn w:val="Normal"/>
    <w:rsid w:val="0064267F"/>
    <w:pPr>
      <w:suppressAutoHyphens/>
      <w:spacing w:before="480" w:after="0" w:line="240" w:lineRule="auto"/>
      <w:jc w:val="both"/>
    </w:pPr>
    <w:rPr>
      <w:rFonts w:ascii="Times New Roman" w:eastAsia="Times New Roman" w:hAnsi="Times New Roman" w:cs="Times New Roman"/>
      <w:szCs w:val="20"/>
    </w:rPr>
  </w:style>
  <w:style w:type="paragraph" w:customStyle="1" w:styleId="ANT">
    <w:name w:val="ANT"/>
    <w:basedOn w:val="Normal"/>
    <w:rsid w:val="0064267F"/>
    <w:pPr>
      <w:suppressAutoHyphens/>
      <w:spacing w:before="240" w:after="0" w:line="240" w:lineRule="auto"/>
      <w:jc w:val="both"/>
    </w:pPr>
    <w:rPr>
      <w:rFonts w:ascii="Times New Roman" w:eastAsia="Times New Roman" w:hAnsi="Times New Roman" w:cs="Times New Roman"/>
      <w:color w:val="800080"/>
      <w:szCs w:val="20"/>
      <w:u w:val="single"/>
    </w:rPr>
  </w:style>
  <w:style w:type="paragraph" w:customStyle="1" w:styleId="CMT">
    <w:name w:val="CMT"/>
    <w:basedOn w:val="Normal"/>
    <w:link w:val="CMTChar"/>
    <w:rsid w:val="0064267F"/>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CPR">
    <w:name w:val="CPR"/>
    <w:basedOn w:val="DefaultParagraphFont"/>
    <w:rsid w:val="0064267F"/>
    <w:rPr>
      <w:rFonts w:cs="Times New Roman"/>
    </w:rPr>
  </w:style>
  <w:style w:type="character" w:customStyle="1" w:styleId="SPN">
    <w:name w:val="SPN"/>
    <w:basedOn w:val="DefaultParagraphFont"/>
    <w:rsid w:val="0064267F"/>
    <w:rPr>
      <w:rFonts w:cs="Times New Roman"/>
    </w:rPr>
  </w:style>
  <w:style w:type="character" w:customStyle="1" w:styleId="SPD">
    <w:name w:val="SPD"/>
    <w:basedOn w:val="DefaultParagraphFont"/>
    <w:rsid w:val="0064267F"/>
    <w:rPr>
      <w:rFonts w:cs="Times New Roman"/>
    </w:rPr>
  </w:style>
  <w:style w:type="character" w:customStyle="1" w:styleId="SI">
    <w:name w:val="SI"/>
    <w:rsid w:val="0064267F"/>
    <w:rPr>
      <w:color w:val="008080"/>
    </w:rPr>
  </w:style>
  <w:style w:type="character" w:customStyle="1" w:styleId="IP">
    <w:name w:val="IP"/>
    <w:rsid w:val="0064267F"/>
    <w:rPr>
      <w:color w:val="FF0000"/>
    </w:rPr>
  </w:style>
  <w:style w:type="paragraph" w:customStyle="1" w:styleId="RJUST">
    <w:name w:val="RJUST"/>
    <w:basedOn w:val="Normal"/>
    <w:rsid w:val="0064267F"/>
    <w:pPr>
      <w:spacing w:after="0" w:line="240" w:lineRule="auto"/>
      <w:jc w:val="right"/>
    </w:pPr>
    <w:rPr>
      <w:rFonts w:ascii="Times New Roman" w:eastAsia="Times New Roman" w:hAnsi="Times New Roman" w:cs="Times New Roman"/>
      <w:szCs w:val="20"/>
    </w:rPr>
  </w:style>
  <w:style w:type="character" w:customStyle="1" w:styleId="SAhyperlink">
    <w:name w:val="SAhyperlink"/>
    <w:uiPriority w:val="1"/>
    <w:qFormat/>
    <w:rsid w:val="0064267F"/>
    <w:rPr>
      <w:color w:val="E36C0A"/>
      <w:u w:val="single"/>
    </w:rPr>
  </w:style>
  <w:style w:type="character" w:styleId="Hyperlink">
    <w:name w:val="Hyperlink"/>
    <w:basedOn w:val="DefaultParagraphFont"/>
    <w:uiPriority w:val="99"/>
    <w:unhideWhenUsed/>
    <w:rsid w:val="0064267F"/>
    <w:rPr>
      <w:color w:val="0000FF"/>
      <w:u w:val="single"/>
    </w:rPr>
  </w:style>
  <w:style w:type="paragraph" w:styleId="Header">
    <w:name w:val="header"/>
    <w:basedOn w:val="Normal"/>
    <w:link w:val="HeaderChar"/>
    <w:uiPriority w:val="99"/>
    <w:unhideWhenUsed/>
    <w:rsid w:val="0064267F"/>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64267F"/>
    <w:rPr>
      <w:rFonts w:ascii="Times New Roman" w:eastAsia="Times New Roman" w:hAnsi="Times New Roman" w:cs="Times New Roman"/>
      <w:szCs w:val="20"/>
    </w:rPr>
  </w:style>
  <w:style w:type="paragraph" w:styleId="Footer">
    <w:name w:val="footer"/>
    <w:basedOn w:val="Normal"/>
    <w:link w:val="FooterChar"/>
    <w:uiPriority w:val="99"/>
    <w:unhideWhenUsed/>
    <w:rsid w:val="0064267F"/>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64267F"/>
    <w:rPr>
      <w:rFonts w:ascii="Times New Roman" w:eastAsia="Times New Roman" w:hAnsi="Times New Roman" w:cs="Times New Roman"/>
      <w:szCs w:val="20"/>
    </w:rPr>
  </w:style>
  <w:style w:type="paragraph" w:customStyle="1" w:styleId="TIP">
    <w:name w:val="TIP"/>
    <w:basedOn w:val="Normal"/>
    <w:link w:val="TIPChar"/>
    <w:rsid w:val="0064267F"/>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locked/>
    <w:rsid w:val="0064267F"/>
    <w:rPr>
      <w:rFonts w:ascii="Times New Roman" w:eastAsia="Times New Roman" w:hAnsi="Times New Roman" w:cs="Times New Roman"/>
      <w:vanish/>
      <w:color w:val="0000FF"/>
      <w:szCs w:val="20"/>
    </w:rPr>
  </w:style>
  <w:style w:type="character" w:customStyle="1" w:styleId="TIPChar">
    <w:name w:val="TIP Char"/>
    <w:link w:val="TIP"/>
    <w:locked/>
    <w:rsid w:val="0064267F"/>
    <w:rPr>
      <w:rFonts w:ascii="Times New Roman" w:eastAsia="Times New Roman" w:hAnsi="Times New Roman" w:cs="Times New Roman"/>
      <w:color w:val="B30838"/>
      <w:szCs w:val="20"/>
    </w:rPr>
  </w:style>
  <w:style w:type="paragraph" w:customStyle="1" w:styleId="PMCMT">
    <w:name w:val="PM_CMT"/>
    <w:basedOn w:val="Normal"/>
    <w:rsid w:val="0064267F"/>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after="0" w:line="240" w:lineRule="auto"/>
      <w:jc w:val="both"/>
    </w:pPr>
    <w:rPr>
      <w:rFonts w:ascii="Times New Roman" w:eastAsia="Times New Roman" w:hAnsi="Times New Roman" w:cs="Times New Roman"/>
      <w:color w:val="FF0000"/>
    </w:rPr>
  </w:style>
  <w:style w:type="paragraph" w:styleId="BalloonText">
    <w:name w:val="Balloon Text"/>
    <w:basedOn w:val="Normal"/>
    <w:link w:val="BalloonTextChar"/>
    <w:uiPriority w:val="99"/>
    <w:semiHidden/>
    <w:unhideWhenUsed/>
    <w:rsid w:val="0064267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4267F"/>
    <w:rPr>
      <w:rFonts w:ascii="Tahoma" w:eastAsia="Times New Roman" w:hAnsi="Tahoma" w:cs="Tahoma"/>
      <w:sz w:val="16"/>
      <w:szCs w:val="16"/>
    </w:rPr>
  </w:style>
  <w:style w:type="character" w:customStyle="1" w:styleId="PR3Char">
    <w:name w:val="PR3 Char"/>
    <w:basedOn w:val="DefaultParagraphFont"/>
    <w:link w:val="PR3"/>
    <w:locked/>
    <w:rsid w:val="00802B7C"/>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dallen</dc:creator>
  <cp:lastModifiedBy>dallen</cp:lastModifiedBy>
  <cp:revision>2</cp:revision>
  <dcterms:created xsi:type="dcterms:W3CDTF">2015-08-03T02:05:00Z</dcterms:created>
  <dcterms:modified xsi:type="dcterms:W3CDTF">2015-08-03T02:05:00Z</dcterms:modified>
</cp:coreProperties>
</file>